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692CD" w14:textId="77777777" w:rsidR="0060224A" w:rsidRPr="0060224A" w:rsidRDefault="0060224A" w:rsidP="0060224A">
      <w:pPr>
        <w:tabs>
          <w:tab w:val="center" w:pos="7369"/>
        </w:tabs>
        <w:spacing w:after="82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</w:pPr>
      <w:r w:rsidRPr="0060224A"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  <w:t>Obrazloženje</w:t>
      </w:r>
    </w:p>
    <w:p w14:paraId="1D6A9951" w14:textId="77777777" w:rsidR="0060224A" w:rsidRPr="0060224A" w:rsidRDefault="0060224A" w:rsidP="0060224A">
      <w:pPr>
        <w:tabs>
          <w:tab w:val="center" w:pos="7369"/>
        </w:tabs>
        <w:spacing w:after="82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</w:pPr>
    </w:p>
    <w:p w14:paraId="1D887FE9" w14:textId="77777777" w:rsidR="0060224A" w:rsidRPr="0060224A" w:rsidRDefault="0060224A" w:rsidP="0060224A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</w:pPr>
      <w:r w:rsidRPr="0060224A"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  <w:t>Zakonska osnova</w:t>
      </w:r>
    </w:p>
    <w:p w14:paraId="189FCC10" w14:textId="77777777" w:rsidR="0060224A" w:rsidRPr="0060224A" w:rsidRDefault="0060224A" w:rsidP="0060224A">
      <w:pPr>
        <w:spacing w:after="0" w:line="240" w:lineRule="auto"/>
        <w:ind w:left="1080"/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</w:pPr>
    </w:p>
    <w:p w14:paraId="4564410D" w14:textId="77777777" w:rsidR="0060224A" w:rsidRPr="0060224A" w:rsidRDefault="0060224A" w:rsidP="0060224A">
      <w:pPr>
        <w:spacing w:line="259" w:lineRule="auto"/>
        <w:jc w:val="both"/>
        <w:rPr>
          <w:rFonts w:ascii="Times New Roman" w:eastAsia="Calibri" w:hAnsi="Times New Roman" w:cs="Times New Roman"/>
          <w:kern w:val="0"/>
          <w:sz w:val="25"/>
          <w:szCs w:val="25"/>
          <w:lang w:val="pl-PL"/>
          <w14:ligatures w14:val="none"/>
        </w:rPr>
      </w:pPr>
      <w:r w:rsidRPr="0060224A">
        <w:rPr>
          <w:rFonts w:ascii="Times New Roman" w:eastAsia="Calibri" w:hAnsi="Times New Roman" w:cs="Times New Roman"/>
          <w:kern w:val="0"/>
          <w:sz w:val="25"/>
          <w:szCs w:val="25"/>
          <w14:ligatures w14:val="none"/>
        </w:rPr>
        <w:t xml:space="preserve">Člankom 1. stavkom 5. </w:t>
      </w:r>
      <w:r w:rsidRPr="0060224A">
        <w:rPr>
          <w:rFonts w:ascii="Times New Roman" w:eastAsia="Times New Roman" w:hAnsi="Times New Roman" w:cs="Times New Roman"/>
          <w:kern w:val="0"/>
          <w:sz w:val="25"/>
          <w:szCs w:val="25"/>
          <w14:ligatures w14:val="none"/>
        </w:rPr>
        <w:t xml:space="preserve">Uredbe o kriterijima, mjerilima i postupcima financiranja i ugovaranja programa i projekata od interesa za opće dobro koje provode udruge (Narodne novine 26/15 i 37/21) </w:t>
      </w:r>
      <w:r w:rsidRPr="0060224A">
        <w:rPr>
          <w:rFonts w:ascii="Times New Roman" w:eastAsia="Calibri" w:hAnsi="Times New Roman" w:cs="Times New Roman"/>
          <w:kern w:val="0"/>
          <w:sz w:val="25"/>
          <w:szCs w:val="25"/>
          <w14:ligatures w14:val="none"/>
        </w:rPr>
        <w:t xml:space="preserve">određeno je da se odredbe Uredbe na odgovarajući način primjenjuju i kada se udrugama odobravaju nefinancijske podrške u nekretninama, dok je člankom 10. </w:t>
      </w:r>
      <w:r w:rsidRPr="0060224A">
        <w:rPr>
          <w:rFonts w:ascii="Times New Roman" w:eastAsia="Times New Roman" w:hAnsi="Times New Roman" w:cs="Times New Roman"/>
          <w:kern w:val="0"/>
          <w:sz w:val="25"/>
          <w:szCs w:val="25"/>
          <w14:ligatures w14:val="none"/>
        </w:rPr>
        <w:t xml:space="preserve">Uredbe </w:t>
      </w:r>
      <w:r w:rsidRPr="0060224A">
        <w:rPr>
          <w:rFonts w:ascii="Times New Roman" w:eastAsia="Calibri" w:hAnsi="Times New Roman" w:cs="Times New Roman"/>
          <w:kern w:val="0"/>
          <w:sz w:val="25"/>
          <w:szCs w:val="25"/>
          <w14:ligatures w14:val="none"/>
        </w:rPr>
        <w:t xml:space="preserve">određeno da </w:t>
      </w:r>
      <w:r w:rsidRPr="0060224A">
        <w:rPr>
          <w:rFonts w:ascii="Times New Roman" w:eastAsia="Calibri" w:hAnsi="Times New Roman" w:cs="Times New Roman"/>
          <w:kern w:val="0"/>
          <w:sz w:val="25"/>
          <w:szCs w:val="25"/>
          <w:lang w:val="pl-PL"/>
          <w14:ligatures w14:val="none"/>
        </w:rPr>
        <w:t xml:space="preserve">temeljni dokument za raspisivanje i provedbu javnog natječaja donosi nadležno tijelo jedinice lokalne samouprave u obliku općeg akta. </w:t>
      </w:r>
    </w:p>
    <w:p w14:paraId="32207540" w14:textId="77777777" w:rsidR="0060224A" w:rsidRPr="0060224A" w:rsidRDefault="0060224A" w:rsidP="0060224A">
      <w:pPr>
        <w:spacing w:after="200" w:line="276" w:lineRule="auto"/>
        <w:ind w:left="10"/>
        <w:jc w:val="both"/>
        <w:rPr>
          <w:rFonts w:ascii="Times New Roman" w:eastAsia="Calibri" w:hAnsi="Times New Roman" w:cs="Times New Roman"/>
          <w:kern w:val="0"/>
          <w:sz w:val="25"/>
          <w:szCs w:val="25"/>
          <w14:ligatures w14:val="none"/>
        </w:rPr>
      </w:pPr>
      <w:r w:rsidRPr="0060224A">
        <w:rPr>
          <w:rFonts w:ascii="Times New Roman" w:eastAsia="Calibri" w:hAnsi="Times New Roman" w:cs="Times New Roman"/>
          <w:kern w:val="0"/>
          <w:sz w:val="25"/>
          <w:szCs w:val="25"/>
          <w14:ligatures w14:val="none"/>
        </w:rPr>
        <w:t>Člankom 40. Statuta Grada Koprivnice („Glasnik Grada Koprivnice“ broj: 4/09, 1/12, 1/13, 3/13, - pročišćeni tekst, 1/18, 2/20 i 1/21) utvrđena je nadležnost Gradskog vijeća Grada Koprivnice za donošenje odluka.</w:t>
      </w:r>
    </w:p>
    <w:p w14:paraId="223EF6D0" w14:textId="77777777" w:rsidR="0060224A" w:rsidRPr="0060224A" w:rsidRDefault="0060224A" w:rsidP="0060224A">
      <w:pPr>
        <w:spacing w:after="200" w:line="276" w:lineRule="auto"/>
        <w:ind w:left="10"/>
        <w:jc w:val="both"/>
        <w:rPr>
          <w:rFonts w:ascii="Times New Roman" w:eastAsia="Calibri" w:hAnsi="Times New Roman" w:cs="Times New Roman"/>
          <w:kern w:val="0"/>
          <w:sz w:val="25"/>
          <w:szCs w:val="25"/>
          <w14:ligatures w14:val="none"/>
        </w:rPr>
      </w:pPr>
    </w:p>
    <w:p w14:paraId="648F45E1" w14:textId="77777777" w:rsidR="0060224A" w:rsidRPr="0060224A" w:rsidRDefault="0060224A" w:rsidP="0060224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Arial" w:hAnsi="Times New Roman" w:cs="Times New Roman"/>
          <w:b/>
          <w:bCs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b/>
          <w:bCs/>
          <w:kern w:val="0"/>
          <w:sz w:val="25"/>
          <w:szCs w:val="25"/>
          <w:lang w:val="hr" w:eastAsia="en-GB"/>
          <w14:ligatures w14:val="none"/>
        </w:rPr>
        <w:t xml:space="preserve">Ocjena stanja i osnovna pitanja koja se uređuju aktom i objašnjenje pojedinih odredbi </w:t>
      </w:r>
    </w:p>
    <w:p w14:paraId="6778AB0B" w14:textId="77777777" w:rsidR="0060224A" w:rsidRPr="0060224A" w:rsidRDefault="0060224A" w:rsidP="0060224A">
      <w:pPr>
        <w:spacing w:after="200" w:line="276" w:lineRule="auto"/>
        <w:ind w:left="1080"/>
        <w:contextualSpacing/>
        <w:jc w:val="both"/>
        <w:rPr>
          <w:rFonts w:ascii="Times New Roman" w:eastAsia="Arial" w:hAnsi="Times New Roman" w:cs="Times New Roman"/>
          <w:b/>
          <w:bCs/>
          <w:kern w:val="0"/>
          <w:sz w:val="25"/>
          <w:szCs w:val="25"/>
          <w:lang w:val="hr" w:eastAsia="en-GB"/>
          <w14:ligatures w14:val="none"/>
        </w:rPr>
      </w:pPr>
    </w:p>
    <w:p w14:paraId="1B46AAD4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Odluko</w:t>
      </w:r>
      <w:r w:rsidRPr="0060224A">
        <w:rPr>
          <w:rFonts w:ascii="Times New Roman" w:eastAsia="Arial" w:hAnsi="Times New Roman" w:cs="Arial"/>
          <w:kern w:val="0"/>
          <w:sz w:val="25"/>
          <w:szCs w:val="25"/>
          <w:lang w:val="hr" w:eastAsia="en-GB"/>
          <w14:ligatures w14:val="none"/>
        </w:rPr>
        <w:t xml:space="preserve">m </w:t>
      </w:r>
      <w:r w:rsidRPr="0060224A">
        <w:rPr>
          <w:rFonts w:ascii="Times New Roman" w:eastAsia="Times New Roman" w:hAnsi="Times New Roman" w:cs="Arial"/>
          <w:kern w:val="0"/>
          <w:sz w:val="25"/>
          <w:szCs w:val="25"/>
          <w:lang w:val="hr" w:eastAsia="en-GB"/>
          <w14:ligatures w14:val="none"/>
        </w:rPr>
        <w:t xml:space="preserve">o davanju na korištenje gradskih prostora udrugama i ostalim organizacijama civilnog društva </w:t>
      </w:r>
      <w:r w:rsidRPr="0060224A">
        <w:rPr>
          <w:rFonts w:ascii="Times New Roman" w:eastAsia="Arial" w:hAnsi="Times New Roman" w:cs="Arial"/>
          <w:kern w:val="0"/>
          <w:sz w:val="25"/>
          <w:szCs w:val="25"/>
          <w:lang w:val="hr" w:eastAsia="en-GB"/>
          <w14:ligatures w14:val="none"/>
        </w:rPr>
        <w:t>(</w:t>
      </w:r>
      <w:r w:rsidRPr="0060224A">
        <w:rPr>
          <w:rFonts w:ascii="Times New Roman" w:eastAsia="Microsoft Sans Serif" w:hAnsi="Times New Roman" w:cs="Arial"/>
          <w:kern w:val="0"/>
          <w:sz w:val="25"/>
          <w:szCs w:val="25"/>
          <w:lang w:val="hr" w:eastAsia="en-GB"/>
          <w14:ligatures w14:val="none"/>
        </w:rPr>
        <w:t xml:space="preserve">u daljnjem tekstu: Odluka) </w:t>
      </w: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propisuju se uvjeti, mjerila i postupci za davanje na korištenje gradskih prostora Grada Koprivnice udrugama i organizacijama civilnog društva putem javnog natječaja ili iznimno neposrednom pogodbom. Uređuje se i pokretanje postupka, sadržaj natječaja, rokovi i uvjeti prijava te način bodovanja i vrednovanja pristiglih prijava radi utvrđivanja liste prvenstva kao i nadležnosti tijela uključenih u postupak.</w:t>
      </w:r>
    </w:p>
    <w:p w14:paraId="011434BA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</w:p>
    <w:p w14:paraId="7F376F66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 xml:space="preserve">Člankom 1. Odluke utvrđuju se uvjeti, mjerila i postupci za davanje </w:t>
      </w:r>
      <w:r w:rsidRPr="0060224A">
        <w:rPr>
          <w:rFonts w:ascii="Times New Roman" w:eastAsia="Times New Roman" w:hAnsi="Times New Roman" w:cs="Arial"/>
          <w:kern w:val="0"/>
          <w:sz w:val="25"/>
          <w:szCs w:val="25"/>
          <w:lang w:val="hr" w:eastAsia="en-GB"/>
          <w14:ligatures w14:val="none"/>
        </w:rPr>
        <w:t xml:space="preserve">na korištenje </w:t>
      </w: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gradskih prostora u vlasništvu Grada Koprivnice udrugama i organizacijama civilnog društva pri čemu se prostori dodjeljuju prema mogućnostima Grada Koprivnice i racionalnom korištenju.</w:t>
      </w:r>
    </w:p>
    <w:p w14:paraId="0CB9A63A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 xml:space="preserve">Člankom 2. Odluke propisuje se da se gradski prostori daju </w:t>
      </w:r>
      <w:r w:rsidRPr="0060224A">
        <w:rPr>
          <w:rFonts w:ascii="Times New Roman" w:eastAsia="Times New Roman" w:hAnsi="Times New Roman" w:cs="Arial"/>
          <w:kern w:val="0"/>
          <w:sz w:val="25"/>
          <w:szCs w:val="25"/>
          <w:lang w:val="hr" w:eastAsia="en-GB"/>
          <w14:ligatures w14:val="none"/>
        </w:rPr>
        <w:t xml:space="preserve">na korištenje </w:t>
      </w: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organizacijama javnim natječajem, a iznimno i bez objavljivanja javnog natječaja neposrednom pogodbom u propisanim slučajevima.</w:t>
      </w:r>
    </w:p>
    <w:p w14:paraId="492ABBFD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 xml:space="preserve">Člankom 3. Odluke propisuju se uvjeti za davanje </w:t>
      </w:r>
      <w:r w:rsidRPr="0060224A">
        <w:rPr>
          <w:rFonts w:ascii="Times New Roman" w:eastAsia="Times New Roman" w:hAnsi="Times New Roman" w:cs="Arial"/>
          <w:kern w:val="0"/>
          <w:sz w:val="25"/>
          <w:szCs w:val="25"/>
          <w:lang w:val="hr" w:eastAsia="en-GB"/>
          <w14:ligatures w14:val="none"/>
        </w:rPr>
        <w:t xml:space="preserve">na korištenje </w:t>
      </w: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gradskog prostora neposrednom pogodbom.</w:t>
      </w:r>
    </w:p>
    <w:p w14:paraId="077AA63D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 xml:space="preserve">Člankom 4. Odluke propisuje se da postupak za davanje gradskog prostora </w:t>
      </w:r>
      <w:r w:rsidRPr="0060224A">
        <w:rPr>
          <w:rFonts w:ascii="Times New Roman" w:eastAsia="Times New Roman" w:hAnsi="Times New Roman" w:cs="Arial"/>
          <w:kern w:val="0"/>
          <w:sz w:val="25"/>
          <w:szCs w:val="25"/>
          <w:lang w:val="hr" w:eastAsia="en-GB"/>
          <w14:ligatures w14:val="none"/>
        </w:rPr>
        <w:t xml:space="preserve">na korištenje </w:t>
      </w: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 xml:space="preserve">neposrednom pogodbom započinje podnošenjem zahtjeva nadležnom upravnom odjelu nakon čega ga razmatra Povjerenstvo i predlaže gradonačelniku koji donosi zaključak o davanju prostora </w:t>
      </w:r>
      <w:r w:rsidRPr="0060224A">
        <w:rPr>
          <w:rFonts w:ascii="Times New Roman" w:eastAsia="Times New Roman" w:hAnsi="Times New Roman" w:cs="Arial"/>
          <w:kern w:val="0"/>
          <w:sz w:val="25"/>
          <w:szCs w:val="25"/>
          <w:lang w:val="hr" w:eastAsia="en-GB"/>
          <w14:ligatures w14:val="none"/>
        </w:rPr>
        <w:t>na korištenje</w:t>
      </w: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.</w:t>
      </w:r>
    </w:p>
    <w:p w14:paraId="07483706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 xml:space="preserve">Člankom 5. Odluke propisuje se da gradonačelnik zaključkom odlučuje o raspisivanju i objavi javnog natječaja za davanje </w:t>
      </w:r>
      <w:r w:rsidRPr="0060224A">
        <w:rPr>
          <w:rFonts w:ascii="Times New Roman" w:eastAsia="Times New Roman" w:hAnsi="Times New Roman" w:cs="Arial"/>
          <w:kern w:val="0"/>
          <w:sz w:val="25"/>
          <w:szCs w:val="25"/>
          <w:lang w:val="hr" w:eastAsia="en-GB"/>
          <w14:ligatures w14:val="none"/>
        </w:rPr>
        <w:t xml:space="preserve">na korištenje </w:t>
      </w: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gradskog prostora i sadržaj zaključka.</w:t>
      </w:r>
    </w:p>
    <w:p w14:paraId="787391E1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lastRenderedPageBreak/>
        <w:t>Člankom 6. Odluke propisuje se sadržaj teksta javnog natječaja.</w:t>
      </w:r>
    </w:p>
    <w:p w14:paraId="04B0677E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Člankom 7. Odluke propisuje se da prijave moraju biti podnesene u roku propisanom u javnom natječaju, a zakašnjele, nepotpune prijave ili prijave koje ne ispunjavaju uvjete neće se  uvrstiti na Prijedlog liste prvenstva.</w:t>
      </w:r>
    </w:p>
    <w:p w14:paraId="7E7EFEE6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 xml:space="preserve">Člankom 8. Odluke propisuje se da postupak davanja gradskih prostora </w:t>
      </w:r>
      <w:r w:rsidRPr="0060224A">
        <w:rPr>
          <w:rFonts w:ascii="Times New Roman" w:eastAsia="Times New Roman" w:hAnsi="Times New Roman" w:cs="Arial"/>
          <w:kern w:val="0"/>
          <w:sz w:val="25"/>
          <w:szCs w:val="25"/>
          <w:lang w:val="hr" w:eastAsia="en-GB"/>
          <w14:ligatures w14:val="none"/>
        </w:rPr>
        <w:t xml:space="preserve">na korištenje </w:t>
      </w: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organizacijama provodi Povjerenstvo koje osniva i imenuje gradonačelnik te propisuje i njegove zadaće.</w:t>
      </w:r>
    </w:p>
    <w:p w14:paraId="6905AB3F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Člankom 9. Odluke propisuje se obveza nepristranosti članova Povjerenstva, uključujući potpisivanje izjave o nepostojanju sukoba interesa te izuzeće iz postupka ako sukob postoji.</w:t>
      </w:r>
    </w:p>
    <w:p w14:paraId="19878D18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Člankom 10. Odluke propisuju se uvjeti koje prijavitelji moraju ispuniti za sudjelovanje u javnom natječaju.</w:t>
      </w:r>
    </w:p>
    <w:p w14:paraId="003C9934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Člankom 11. Odluke propisuje se sadržaj prijave na natječaj.</w:t>
      </w:r>
    </w:p>
    <w:p w14:paraId="2FCE1E4F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 xml:space="preserve">Člankom 12. Odluke propisuju se kriteriji i mjerila za bodovanje pristiglih prijava na natječaj te na temelju zbroja bodova svakog prijavitelja Povjerenstvo utvrđuje Prijedlog liste prvenstva za dodjelu gradskog prostora </w:t>
      </w:r>
      <w:r w:rsidRPr="0060224A">
        <w:rPr>
          <w:rFonts w:ascii="Times New Roman" w:eastAsia="Times New Roman" w:hAnsi="Times New Roman" w:cs="Arial"/>
          <w:kern w:val="0"/>
          <w:sz w:val="25"/>
          <w:szCs w:val="25"/>
          <w:lang w:val="hr" w:eastAsia="en-GB"/>
          <w14:ligatures w14:val="none"/>
        </w:rPr>
        <w:t>na korištenje</w:t>
      </w: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.</w:t>
      </w:r>
    </w:p>
    <w:p w14:paraId="116D7BF1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Člankom 13. Odluke propisuje se da u slučaju jednakog broja bodova prednost ima prijavitelj  s boljim rezultatima po određenom kriteriju, a ako su i tada izjednačeni, prednost na listi ostvaruje prijavitelj koji je ranije predao prijavu.</w:t>
      </w:r>
    </w:p>
    <w:p w14:paraId="30389A1A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Člankom 14. Odluke propisuje se da u slučaju kada jedan gradski prostor planira koristiti više prijavitelja u suradnji /partnerstvu, prijavu podnosi samo jedan prijavitelj.</w:t>
      </w:r>
    </w:p>
    <w:p w14:paraId="067CB137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 xml:space="preserve">Člankom 15. Odluke propisuje se objava Prijedloga liste prvenstva nakon bodovanja, mogućnost prigovora te da konačnu listu prvenstva za davanje </w:t>
      </w:r>
      <w:r w:rsidRPr="0060224A">
        <w:rPr>
          <w:rFonts w:ascii="Times New Roman" w:eastAsia="Times New Roman" w:hAnsi="Times New Roman" w:cs="Arial"/>
          <w:kern w:val="0"/>
          <w:sz w:val="25"/>
          <w:szCs w:val="25"/>
          <w:lang w:val="hr" w:eastAsia="en-GB"/>
          <w14:ligatures w14:val="none"/>
        </w:rPr>
        <w:t xml:space="preserve">na korištenje </w:t>
      </w: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gradskog prostora utvrđuje gradonačelnik.</w:t>
      </w:r>
    </w:p>
    <w:p w14:paraId="78A72F51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Člankom 16. Odluke propisuje se da se na temelju konačne liste sklapa ugovor o korištenju gradskog prostora te da je prijavitelj dužan dostaviti izjavu o nepostojanju dvostrukog financiranja.</w:t>
      </w:r>
    </w:p>
    <w:p w14:paraId="40CF3A4D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Člankom 17. Odluke propisuje se obvezni sadržaj ugovora o korištenju.</w:t>
      </w:r>
    </w:p>
    <w:p w14:paraId="68FC69D2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Člankom 18. Odluke propisuje se da gradonačelnik može tijekom trajanja korištenja gradskog prostora odobriti korištenje prostora u partnerstvu s drugim organizacijama uz ispunjenje uvjeta i sklapanje ugovora do isteka postojećeg korištenja gradskih prostora.</w:t>
      </w:r>
    </w:p>
    <w:p w14:paraId="367492ED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Člankom 19. Odluke propisuje se da korisnik plaća naknadu te sve troškove korištenja prostora kao i troškove tekućeg održavanja gradskog prostora.</w:t>
      </w:r>
    </w:p>
    <w:p w14:paraId="31356EAE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Člankom 20. Odluke propisuje se da nakon isteka roka od pet godina korisniku se može dati gradski prostor</w:t>
      </w:r>
      <w:r w:rsidRPr="0060224A">
        <w:rPr>
          <w:rFonts w:ascii="Times New Roman" w:eastAsia="Times New Roman" w:hAnsi="Times New Roman" w:cs="Times New Roman"/>
          <w:kern w:val="0"/>
          <w:sz w:val="25"/>
          <w:szCs w:val="25"/>
          <w14:ligatures w14:val="none"/>
        </w:rPr>
        <w:t xml:space="preserve"> </w:t>
      </w:r>
      <w:r w:rsidRPr="0060224A">
        <w:rPr>
          <w:rFonts w:ascii="Times New Roman" w:eastAsia="Arial" w:hAnsi="Times New Roman" w:cs="Times New Roman"/>
          <w:kern w:val="0"/>
          <w:sz w:val="25"/>
          <w:szCs w:val="25"/>
          <w:lang w:eastAsia="en-GB"/>
          <w14:ligatures w14:val="none"/>
        </w:rPr>
        <w:t xml:space="preserve">na korištenje </w:t>
      </w: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na daljnjih pet godina bez natječaja ako uredno ispunjava obveze i podnese zahtjev na vrijeme.</w:t>
      </w:r>
    </w:p>
    <w:p w14:paraId="69E3E838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Člankom 21. Odluke propisuju se uvjeti raskida ugovora prije isteka roka, uključujući kršenje obveza, neplaćanje naknade ili nepravilno korištenje prostora uz mogućnost otkaza i od strane korisnika.</w:t>
      </w:r>
    </w:p>
    <w:p w14:paraId="67509278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 xml:space="preserve">Člankom 22. Odluke propisuje se da će nakon stupanja na snagu ove Odluke provesti javni natječaj </w:t>
      </w:r>
      <w:r w:rsidRPr="0060224A">
        <w:rPr>
          <w:rFonts w:ascii="Times New Roman" w:eastAsia="Times New Roman" w:hAnsi="Times New Roman" w:cs="Arial"/>
          <w:kern w:val="0"/>
          <w:sz w:val="25"/>
          <w:szCs w:val="25"/>
          <w:lang w:val="hr" w:eastAsia="en-GB"/>
          <w14:ligatures w14:val="none"/>
        </w:rPr>
        <w:t xml:space="preserve">za korištenje </w:t>
      </w: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slobodnih gradskih prostora.</w:t>
      </w:r>
    </w:p>
    <w:p w14:paraId="190FF58A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  <w:r w:rsidRPr="0060224A"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  <w:t>Člankom 23. Odluke propisuje se gdje će se objaviti Odluka i kada stupa na snagu.</w:t>
      </w:r>
    </w:p>
    <w:p w14:paraId="144B70D9" w14:textId="77777777" w:rsidR="0060224A" w:rsidRPr="0060224A" w:rsidRDefault="0060224A" w:rsidP="0060224A">
      <w:pPr>
        <w:spacing w:after="200" w:line="276" w:lineRule="auto"/>
        <w:contextualSpacing/>
        <w:jc w:val="both"/>
        <w:rPr>
          <w:rFonts w:ascii="Times New Roman" w:eastAsia="Arial" w:hAnsi="Times New Roman" w:cs="Times New Roman"/>
          <w:kern w:val="0"/>
          <w:sz w:val="25"/>
          <w:szCs w:val="25"/>
          <w:lang w:val="hr" w:eastAsia="en-GB"/>
          <w14:ligatures w14:val="none"/>
        </w:rPr>
      </w:pPr>
    </w:p>
    <w:p w14:paraId="2D34F3C6" w14:textId="77777777" w:rsidR="0060224A" w:rsidRPr="0060224A" w:rsidRDefault="0060224A" w:rsidP="0060224A">
      <w:pPr>
        <w:numPr>
          <w:ilvl w:val="0"/>
          <w:numId w:val="1"/>
        </w:numPr>
        <w:spacing w:after="0" w:line="252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</w:pPr>
      <w:r w:rsidRPr="0060224A"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  <w:lastRenderedPageBreak/>
        <w:t>Potrebna sredstva za provedbu akta</w:t>
      </w:r>
    </w:p>
    <w:p w14:paraId="6378BC95" w14:textId="77777777" w:rsidR="0060224A" w:rsidRPr="0060224A" w:rsidRDefault="0060224A" w:rsidP="0060224A">
      <w:pPr>
        <w:spacing w:after="200" w:line="252" w:lineRule="auto"/>
        <w:ind w:left="1080"/>
        <w:contextualSpacing/>
        <w:rPr>
          <w:rFonts w:ascii="Times New Roman" w:eastAsia="Calibri" w:hAnsi="Times New Roman" w:cs="Times New Roman"/>
          <w:b/>
          <w:bCs/>
          <w:kern w:val="0"/>
          <w:sz w:val="25"/>
          <w:szCs w:val="25"/>
          <w14:ligatures w14:val="none"/>
        </w:rPr>
      </w:pPr>
    </w:p>
    <w:p w14:paraId="29E78F2D" w14:textId="77777777" w:rsidR="0060224A" w:rsidRPr="0060224A" w:rsidRDefault="0060224A" w:rsidP="0060224A">
      <w:pPr>
        <w:spacing w:after="200" w:line="252" w:lineRule="auto"/>
        <w:ind w:left="360"/>
        <w:rPr>
          <w:rFonts w:ascii="Times New Roman" w:eastAsia="Calibri" w:hAnsi="Times New Roman" w:cs="Times New Roman"/>
          <w:kern w:val="0"/>
          <w:sz w:val="25"/>
          <w:szCs w:val="25"/>
          <w14:ligatures w14:val="none"/>
        </w:rPr>
      </w:pPr>
      <w:r w:rsidRPr="0060224A">
        <w:rPr>
          <w:rFonts w:ascii="Times New Roman" w:eastAsia="Calibri" w:hAnsi="Times New Roman" w:cs="Times New Roman"/>
          <w:kern w:val="0"/>
          <w:sz w:val="25"/>
          <w:szCs w:val="25"/>
          <w14:ligatures w14:val="none"/>
        </w:rPr>
        <w:t>Za provedbu ove Odluke nije potrebno osigurati dodatna sredstva.</w:t>
      </w:r>
      <w:r w:rsidRPr="0060224A">
        <w:rPr>
          <w:rFonts w:ascii="Times New Roman" w:eastAsia="Calibri" w:hAnsi="Times New Roman" w:cs="Times New Roman"/>
          <w:kern w:val="0"/>
          <w:sz w:val="25"/>
          <w:szCs w:val="25"/>
          <w14:ligatures w14:val="none"/>
        </w:rPr>
        <w:br/>
        <w:t xml:space="preserve">Sukladno naprijed navedenom, predlaže se donošenje ove Odluke.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85"/>
        <w:gridCol w:w="4587"/>
      </w:tblGrid>
      <w:tr w:rsidR="0060224A" w:rsidRPr="0060224A" w14:paraId="1E44C9C1" w14:textId="77777777" w:rsidTr="00C749DB">
        <w:tc>
          <w:tcPr>
            <w:tcW w:w="4607" w:type="dxa"/>
          </w:tcPr>
          <w:p w14:paraId="336C6C2B" w14:textId="77777777" w:rsidR="0060224A" w:rsidRPr="0060224A" w:rsidRDefault="0060224A" w:rsidP="0060224A">
            <w:pPr>
              <w:spacing w:after="120" w:line="240" w:lineRule="auto"/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</w:pPr>
          </w:p>
          <w:p w14:paraId="617E77A6" w14:textId="77777777" w:rsidR="0060224A" w:rsidRPr="0060224A" w:rsidRDefault="0060224A" w:rsidP="0060224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</w:pPr>
            <w:r w:rsidRPr="0060224A"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  <w:t>Nositelj izrade akta:</w:t>
            </w:r>
          </w:p>
          <w:p w14:paraId="4BC106D4" w14:textId="77777777" w:rsidR="0060224A" w:rsidRPr="0060224A" w:rsidRDefault="0060224A" w:rsidP="0060224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5"/>
                <w:szCs w:val="25"/>
                <w14:ligatures w14:val="none"/>
              </w:rPr>
            </w:pPr>
            <w:r w:rsidRPr="0060224A">
              <w:rPr>
                <w:rFonts w:ascii="Times New Roman" w:eastAsia="Calibri" w:hAnsi="Times New Roman" w:cs="Times New Roman"/>
                <w:kern w:val="0"/>
                <w:sz w:val="25"/>
                <w:szCs w:val="25"/>
                <w14:ligatures w14:val="none"/>
              </w:rPr>
              <w:t>UPRAVNI ODJEL ZA POSLOVE GRADSKOG VIJEĆA I PRAVNE POSLOVE</w:t>
            </w:r>
          </w:p>
          <w:p w14:paraId="472FBF98" w14:textId="77777777" w:rsidR="0060224A" w:rsidRPr="0060224A" w:rsidRDefault="0060224A" w:rsidP="0060224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</w:pPr>
            <w:r w:rsidRPr="0060224A"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  <w:t>Pročelnica:</w:t>
            </w:r>
            <w:r w:rsidRPr="0060224A"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  <w:tab/>
            </w:r>
          </w:p>
          <w:p w14:paraId="0DD5F620" w14:textId="77777777" w:rsidR="0060224A" w:rsidRPr="0060224A" w:rsidRDefault="0060224A" w:rsidP="0060224A">
            <w:pPr>
              <w:spacing w:after="200" w:line="276" w:lineRule="auto"/>
              <w:rPr>
                <w:rFonts w:ascii="Times New Roman" w:eastAsia="Calibri" w:hAnsi="Times New Roman" w:cs="Times New Roman"/>
                <w:kern w:val="0"/>
                <w:sz w:val="25"/>
                <w:szCs w:val="25"/>
                <w14:ligatures w14:val="none"/>
              </w:rPr>
            </w:pPr>
            <w:r w:rsidRPr="0060224A">
              <w:rPr>
                <w:rFonts w:ascii="Times New Roman" w:eastAsia="Calibri" w:hAnsi="Times New Roman" w:cs="Times New Roman"/>
                <w:kern w:val="0"/>
                <w:sz w:val="25"/>
                <w:szCs w:val="25"/>
                <w14:ligatures w14:val="none"/>
              </w:rPr>
              <w:t xml:space="preserve">                         Ida Bakrač                                                                                                                    </w:t>
            </w:r>
          </w:p>
        </w:tc>
        <w:tc>
          <w:tcPr>
            <w:tcW w:w="4681" w:type="dxa"/>
          </w:tcPr>
          <w:p w14:paraId="644FDD2C" w14:textId="77777777" w:rsidR="0060224A" w:rsidRPr="0060224A" w:rsidRDefault="0060224A" w:rsidP="0060224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</w:pPr>
          </w:p>
          <w:p w14:paraId="66E4DFFC" w14:textId="77777777" w:rsidR="0060224A" w:rsidRPr="0060224A" w:rsidRDefault="0060224A" w:rsidP="0060224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</w:pPr>
            <w:r w:rsidRPr="0060224A"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  <w:t>Predlagatelj akta:</w:t>
            </w:r>
          </w:p>
          <w:p w14:paraId="7571C22D" w14:textId="77777777" w:rsidR="0060224A" w:rsidRPr="0060224A" w:rsidRDefault="0060224A" w:rsidP="0060224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</w:pPr>
            <w:r w:rsidRPr="0060224A"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  <w:t>GRADONAČELNIK</w:t>
            </w:r>
          </w:p>
          <w:p w14:paraId="28332D50" w14:textId="77777777" w:rsidR="0060224A" w:rsidRPr="0060224A" w:rsidRDefault="0060224A" w:rsidP="0060224A">
            <w:pPr>
              <w:spacing w:after="120" w:line="240" w:lineRule="auto"/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</w:pPr>
          </w:p>
          <w:p w14:paraId="4E5E1E5E" w14:textId="77777777" w:rsidR="0060224A" w:rsidRPr="0060224A" w:rsidRDefault="0060224A" w:rsidP="0060224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</w:pPr>
            <w:r w:rsidRPr="0060224A"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  <w:t>Mišel Jakšić</w:t>
            </w:r>
          </w:p>
          <w:p w14:paraId="0BBFE0DB" w14:textId="77777777" w:rsidR="0060224A" w:rsidRPr="0060224A" w:rsidRDefault="0060224A" w:rsidP="0060224A">
            <w:pPr>
              <w:spacing w:after="120" w:line="240" w:lineRule="auto"/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</w:pPr>
          </w:p>
          <w:p w14:paraId="5B21E9D4" w14:textId="77777777" w:rsidR="0060224A" w:rsidRPr="0060224A" w:rsidRDefault="0060224A" w:rsidP="0060224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</w:pPr>
          </w:p>
          <w:p w14:paraId="3F1453AA" w14:textId="77777777" w:rsidR="0060224A" w:rsidRPr="0060224A" w:rsidRDefault="0060224A" w:rsidP="0060224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</w:pPr>
          </w:p>
          <w:p w14:paraId="09DA7EF2" w14:textId="77777777" w:rsidR="0060224A" w:rsidRPr="0060224A" w:rsidRDefault="0060224A" w:rsidP="0060224A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5"/>
                <w:szCs w:val="25"/>
                <w:lang w:eastAsia="hr-HR"/>
                <w14:ligatures w14:val="none"/>
              </w:rPr>
            </w:pPr>
          </w:p>
        </w:tc>
      </w:tr>
    </w:tbl>
    <w:p w14:paraId="4FFCC1A9" w14:textId="77777777" w:rsidR="0060224A" w:rsidRPr="0060224A" w:rsidRDefault="0060224A" w:rsidP="0060224A">
      <w:pPr>
        <w:tabs>
          <w:tab w:val="left" w:pos="487"/>
        </w:tabs>
        <w:spacing w:after="200" w:line="276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A136DA3" w14:textId="77777777" w:rsidR="00930F8F" w:rsidRDefault="00930F8F"/>
    <w:sectPr w:rsidR="00930F8F" w:rsidSect="0060224A">
      <w:headerReference w:type="even" r:id="rId5"/>
      <w:headerReference w:type="default" r:id="rId6"/>
      <w:pgSz w:w="11906" w:h="16838"/>
      <w:pgMar w:top="1417" w:right="1417" w:bottom="1417" w:left="1417" w:header="709" w:footer="709" w:gutter="0"/>
      <w:pgNumType w:fmt="numberInDash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E545A" w14:textId="77777777" w:rsidR="0060224A" w:rsidRDefault="0060224A" w:rsidP="006720F8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end"/>
    </w:r>
  </w:p>
  <w:p w14:paraId="0B16C003" w14:textId="77777777" w:rsidR="0060224A" w:rsidRDefault="0060224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5DA26" w14:textId="77777777" w:rsidR="0060224A" w:rsidRPr="002B0E5B" w:rsidRDefault="0060224A" w:rsidP="006720F8">
    <w:pPr>
      <w:pStyle w:val="Zaglavlje"/>
      <w:framePr w:wrap="around" w:vAnchor="text" w:hAnchor="margin" w:xAlign="center" w:y="1"/>
      <w:rPr>
        <w:rStyle w:val="Brojstranice"/>
        <w:rFonts w:ascii="Times New Roman" w:hAnsi="Times New Roman"/>
      </w:rPr>
    </w:pPr>
  </w:p>
  <w:p w14:paraId="63BEA07F" w14:textId="77777777" w:rsidR="0060224A" w:rsidRPr="002B0E5B" w:rsidRDefault="0060224A">
    <w:pPr>
      <w:pStyle w:val="Zaglavlje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4807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F8F"/>
    <w:rsid w:val="0060224A"/>
    <w:rsid w:val="00930F8F"/>
    <w:rsid w:val="00BA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7E553"/>
  <w15:chartTrackingRefBased/>
  <w15:docId w15:val="{D20CE6CB-F4F4-4E53-B117-CC9A706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930F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30F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30F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30F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30F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30F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30F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30F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30F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30F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30F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30F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30F8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30F8F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30F8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30F8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30F8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30F8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30F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30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30F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30F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30F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930F8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30F8F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30F8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30F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30F8F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30F8F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semiHidden/>
    <w:unhideWhenUsed/>
    <w:rsid w:val="006022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60224A"/>
  </w:style>
  <w:style w:type="character" w:styleId="Brojstranice">
    <w:name w:val="page number"/>
    <w:uiPriority w:val="99"/>
    <w:semiHidden/>
    <w:unhideWhenUsed/>
    <w:rsid w:val="00602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870</Words>
  <Characters>4965</Characters>
  <Application>Microsoft Office Word</Application>
  <DocSecurity>0</DocSecurity>
  <Lines>41</Lines>
  <Paragraphs>11</Paragraphs>
  <ScaleCrop>false</ScaleCrop>
  <Company/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Čok</dc:creator>
  <cp:keywords/>
  <dc:description/>
  <cp:lastModifiedBy>Mateja Čok</cp:lastModifiedBy>
  <cp:revision>3</cp:revision>
  <cp:lastPrinted>2026-05-13T10:50:00Z</cp:lastPrinted>
  <dcterms:created xsi:type="dcterms:W3CDTF">2026-05-13T10:50:00Z</dcterms:created>
  <dcterms:modified xsi:type="dcterms:W3CDTF">2026-05-13T10:50:00Z</dcterms:modified>
</cp:coreProperties>
</file>